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黑体" w:eastAsia="黑体"/>
          <w:color w:val="000000"/>
          <w:spacing w:val="60"/>
          <w:sz w:val="24"/>
        </w:rPr>
      </w:pPr>
      <w:bookmarkStart w:id="0" w:name="_GoBack"/>
      <w:r>
        <w:rPr>
          <w:rFonts w:hint="eastAsia" w:ascii="黑体" w:eastAsia="黑体"/>
          <w:color w:val="000000"/>
          <w:spacing w:val="60"/>
          <w:sz w:val="24"/>
        </w:rPr>
        <w:t>我市职业教育学校建设情况</w:t>
      </w:r>
      <w:bookmarkEnd w:id="0"/>
    </w:p>
    <w:tbl>
      <w:tblPr>
        <w:tblStyle w:val="3"/>
        <w:tblW w:w="91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206"/>
        <w:gridCol w:w="1152"/>
        <w:gridCol w:w="1196"/>
        <w:gridCol w:w="1266"/>
        <w:gridCol w:w="1266"/>
        <w:gridCol w:w="1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学   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国家改革发展示范学校</w:t>
            </w: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国家级重点职业学校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江苏省高水平示范学校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江苏省五年制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高等职业学校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江苏省四星级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中等专业学校</w:t>
            </w: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江苏省三星级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江苏财会职业学院（连云港财经高等职业技术学校）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江苏省连云港工贸高等职业技术学校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江苏省连云港中医药高等职业技术学校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江苏省连云港中等专业学校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江苏省赣榆中等专业学校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江苏省东海中等专业学校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江苏省灌云中等专业学校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江苏省灌南中等专业学校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江苏省大港中等专业学校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6"/>
                <w:sz w:val="18"/>
                <w:szCs w:val="18"/>
              </w:rPr>
              <w:t>江苏省金山中等专业学校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连云港生物工程中等专业学校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连云港海州中等专业学校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连云港市艺术学校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889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6"/>
                <w:sz w:val="18"/>
                <w:szCs w:val="18"/>
              </w:rPr>
              <w:t>连云港市体育运动学校</w:t>
            </w:r>
          </w:p>
        </w:tc>
        <w:tc>
          <w:tcPr>
            <w:tcW w:w="1206" w:type="dxa"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52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66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81C94"/>
    <w:rsid w:val="15A8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2017-06-15T09:53:00Z</dcterms:created>
  <dc:creator>Administrator</dc:creator>
  <cp:lastModifiedBy>Administrator</cp:lastModifiedBy>
  <dcterms:modified xsi:type="dcterms:W3CDTF">2017-06-15T09:54:05Z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